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E" w:rsidRDefault="006118BE" w:rsidP="006118BE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6118BE" w:rsidRDefault="006118BE" w:rsidP="006118BE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6118BE" w:rsidRDefault="006118BE" w:rsidP="006118BE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6118BE" w:rsidRDefault="006118BE" w:rsidP="006118BE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118BE" w:rsidRDefault="006118BE" w:rsidP="006118BE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</w:t>
      </w:r>
      <w:r>
        <w:rPr>
          <w:rFonts w:cs="Times New Roman"/>
          <w:sz w:val="21"/>
          <w:szCs w:val="21"/>
          <w:lang w:val="kk-KZ"/>
        </w:rPr>
        <w:t>6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6118BE" w:rsidRDefault="006118BE" w:rsidP="006118BE">
      <w:pPr>
        <w:pStyle w:val="Standard"/>
        <w:jc w:val="center"/>
        <w:rPr>
          <w:rFonts w:cs="Times New Roman"/>
          <w:sz w:val="21"/>
          <w:szCs w:val="21"/>
        </w:rPr>
      </w:pPr>
    </w:p>
    <w:p w:rsidR="006118BE" w:rsidRDefault="006118BE" w:rsidP="006118BE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6118BE" w:rsidRDefault="006118BE" w:rsidP="006118BE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6118BE" w:rsidRDefault="006118BE" w:rsidP="006118B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6118BE" w:rsidRDefault="006118BE" w:rsidP="006118BE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6118BE" w:rsidRDefault="006118BE" w:rsidP="006118BE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845"/>
        <w:gridCol w:w="1276"/>
        <w:gridCol w:w="1417"/>
        <w:gridCol w:w="1276"/>
        <w:gridCol w:w="1400"/>
      </w:tblGrid>
      <w:tr w:rsidR="006118BE" w:rsidRPr="00F31570" w:rsidTr="00A76E66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70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BE" w:rsidRPr="00F31570" w:rsidRDefault="006118BE" w:rsidP="00A7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1570">
              <w:rPr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3 780,00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3 780,00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 xml:space="preserve">Краситель по </w:t>
            </w:r>
            <w:proofErr w:type="gramStart"/>
            <w:r w:rsidRPr="00EB5D3D">
              <w:rPr>
                <w:rFonts w:cs="Times New Roman"/>
                <w:sz w:val="20"/>
                <w:szCs w:val="20"/>
              </w:rPr>
              <w:t>Романовскому</w:t>
            </w:r>
            <w:proofErr w:type="gramEnd"/>
            <w:r w:rsidRPr="00EB5D3D">
              <w:rPr>
                <w:rFonts w:cs="Times New Roman"/>
                <w:sz w:val="20"/>
                <w:szCs w:val="20"/>
              </w:rPr>
              <w:t xml:space="preserve"> объем 1 литр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бутыль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3 300,00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9 900,00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Бумага фильтровальная средней фильтрации 100*100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4 000,00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20 000,00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B5D3D">
              <w:rPr>
                <w:rFonts w:cs="Times New Roman"/>
                <w:sz w:val="20"/>
                <w:szCs w:val="20"/>
              </w:rPr>
              <w:t>Тромбо</w:t>
            </w:r>
            <w:proofErr w:type="spellEnd"/>
            <w:r w:rsidRPr="00EB5D3D">
              <w:rPr>
                <w:rFonts w:cs="Times New Roman"/>
                <w:sz w:val="20"/>
                <w:szCs w:val="20"/>
              </w:rPr>
              <w:t xml:space="preserve">-тест (набор для определения </w:t>
            </w:r>
            <w:proofErr w:type="spellStart"/>
            <w:r w:rsidRPr="00EB5D3D">
              <w:rPr>
                <w:rFonts w:cs="Times New Roman"/>
                <w:sz w:val="20"/>
                <w:szCs w:val="20"/>
              </w:rPr>
              <w:t>тромбинового</w:t>
            </w:r>
            <w:proofErr w:type="spellEnd"/>
            <w:r w:rsidRPr="00EB5D3D">
              <w:rPr>
                <w:rFonts w:cs="Times New Roman"/>
                <w:sz w:val="20"/>
                <w:szCs w:val="20"/>
              </w:rPr>
              <w:t xml:space="preserve"> време</w:t>
            </w:r>
            <w:bookmarkStart w:id="0" w:name="_GoBack"/>
            <w:bookmarkEnd w:id="0"/>
            <w:r w:rsidRPr="00EB5D3D">
              <w:rPr>
                <w:rFonts w:cs="Times New Roman"/>
                <w:sz w:val="20"/>
                <w:szCs w:val="20"/>
              </w:rPr>
              <w:t>ни) на 400 определений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29 800,00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149 000,00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 xml:space="preserve">Набор для определения АЧТВ для </w:t>
            </w:r>
            <w:proofErr w:type="spellStart"/>
            <w:r w:rsidRPr="00EB5D3D">
              <w:rPr>
                <w:rFonts w:cs="Times New Roman"/>
                <w:sz w:val="20"/>
                <w:szCs w:val="20"/>
              </w:rPr>
              <w:t>коагулограммы</w:t>
            </w:r>
            <w:proofErr w:type="spellEnd"/>
            <w:r w:rsidRPr="00EB5D3D">
              <w:rPr>
                <w:rFonts w:cs="Times New Roman"/>
                <w:sz w:val="20"/>
                <w:szCs w:val="20"/>
              </w:rPr>
              <w:t xml:space="preserve">  "Тех-СТ" на 100 определений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7 900,00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79 000,00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Default="006118BE" w:rsidP="00A76E6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Тех-пластин 4*25 тесто</w:t>
            </w:r>
            <w:proofErr w:type="gramStart"/>
            <w:r w:rsidRPr="00EB5D3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EB5D3D">
              <w:rPr>
                <w:rFonts w:cs="Times New Roman"/>
                <w:sz w:val="20"/>
                <w:szCs w:val="20"/>
              </w:rPr>
              <w:t>набор для определения ПИ и МНО) "Тех-СТ" на 100 определений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15 400,00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924 000,00</w:t>
            </w:r>
          </w:p>
        </w:tc>
      </w:tr>
      <w:tr w:rsidR="006118BE" w:rsidRPr="00F31570" w:rsidTr="00A76E6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Default="006118BE" w:rsidP="00A76E66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B5D3D">
              <w:rPr>
                <w:rFonts w:cs="Times New Roman"/>
                <w:sz w:val="20"/>
                <w:szCs w:val="20"/>
              </w:rPr>
              <w:t>Тест-полоски</w:t>
            </w:r>
            <w:proofErr w:type="gramEnd"/>
            <w:r w:rsidRPr="00EB5D3D">
              <w:rPr>
                <w:rFonts w:cs="Times New Roman"/>
                <w:sz w:val="20"/>
                <w:szCs w:val="20"/>
              </w:rPr>
              <w:t xml:space="preserve"> для определения гемоглобина в моче 50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туба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4 800,00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BE" w:rsidRPr="00EB5D3D" w:rsidRDefault="006118BE" w:rsidP="00A76E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D3D">
              <w:rPr>
                <w:rFonts w:cs="Times New Roman"/>
                <w:sz w:val="20"/>
                <w:szCs w:val="20"/>
              </w:rPr>
              <w:t>14 400,00</w:t>
            </w:r>
          </w:p>
        </w:tc>
      </w:tr>
    </w:tbl>
    <w:p w:rsidR="006118BE" w:rsidRDefault="006118BE" w:rsidP="006118BE">
      <w:pPr>
        <w:widowControl/>
        <w:suppressAutoHyphens w:val="0"/>
        <w:autoSpaceDN/>
        <w:jc w:val="both"/>
        <w:rPr>
          <w:rFonts w:cs="Times New Roman"/>
          <w:sz w:val="21"/>
          <w:szCs w:val="21"/>
          <w:lang w:val="kk-KZ"/>
        </w:rPr>
      </w:pPr>
      <w:r w:rsidRPr="00EB5D3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</w:p>
    <w:p w:rsidR="006118BE" w:rsidRPr="00910DEA" w:rsidRDefault="006118BE" w:rsidP="006118BE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EB5D3D">
        <w:rPr>
          <w:rFonts w:eastAsia="Times New Roman" w:cs="Times New Roman"/>
          <w:kern w:val="0"/>
          <w:sz w:val="20"/>
          <w:szCs w:val="20"/>
          <w:lang w:eastAsia="ru-RU" w:bidi="ar-SA"/>
        </w:rPr>
        <w:t>1 200 080,00</w:t>
      </w:r>
      <w:r w:rsidRPr="00910DEA"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один миллион двести</w:t>
      </w:r>
      <w:r>
        <w:rPr>
          <w:rFonts w:cs="Times New Roman"/>
          <w:sz w:val="21"/>
          <w:szCs w:val="21"/>
          <w:lang w:val="kk-KZ"/>
        </w:rPr>
        <w:t xml:space="preserve"> тысяч</w:t>
      </w:r>
      <w:r>
        <w:rPr>
          <w:rFonts w:cs="Times New Roman"/>
          <w:sz w:val="21"/>
          <w:szCs w:val="21"/>
          <w:lang w:val="kk-KZ"/>
        </w:rPr>
        <w:t xml:space="preserve"> восемьдесят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6118BE" w:rsidRPr="00910DEA" w:rsidRDefault="006118BE" w:rsidP="006118BE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6118BE" w:rsidRPr="00910DEA" w:rsidRDefault="006118BE" w:rsidP="006118BE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6118BE" w:rsidRPr="00910DEA" w:rsidRDefault="006118BE" w:rsidP="006118BE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</w:t>
      </w:r>
      <w:r>
        <w:rPr>
          <w:rFonts w:cs="Times New Roman"/>
          <w:sz w:val="21"/>
          <w:szCs w:val="21"/>
        </w:rPr>
        <w:t xml:space="preserve"> 201, дата </w:t>
      </w:r>
      <w:r>
        <w:rPr>
          <w:rFonts w:cs="Times New Roman"/>
          <w:sz w:val="21"/>
          <w:szCs w:val="21"/>
        </w:rPr>
        <w:t>23</w:t>
      </w:r>
      <w:r>
        <w:rPr>
          <w:rFonts w:cs="Times New Roman"/>
          <w:sz w:val="21"/>
          <w:szCs w:val="21"/>
        </w:rPr>
        <w:t xml:space="preserve">.04.2018г. время: </w:t>
      </w:r>
      <w:r>
        <w:rPr>
          <w:rFonts w:cs="Times New Roman"/>
          <w:sz w:val="21"/>
          <w:szCs w:val="21"/>
          <w:lang w:val="kk-KZ"/>
        </w:rPr>
        <w:t>09</w:t>
      </w:r>
      <w:r w:rsidRPr="00910DE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0</w:t>
      </w:r>
      <w:r w:rsidRPr="00910DEA">
        <w:rPr>
          <w:rFonts w:cs="Times New Roman"/>
          <w:sz w:val="21"/>
          <w:szCs w:val="21"/>
        </w:rPr>
        <w:t>0 часов.</w:t>
      </w:r>
    </w:p>
    <w:p w:rsidR="006118BE" w:rsidRPr="00910DEA" w:rsidRDefault="006118BE" w:rsidP="006118BE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 xml:space="preserve">ий: дата </w:t>
      </w:r>
      <w:r>
        <w:rPr>
          <w:rFonts w:cs="Times New Roman"/>
          <w:sz w:val="21"/>
          <w:szCs w:val="21"/>
        </w:rPr>
        <w:t>23</w:t>
      </w:r>
      <w:r>
        <w:rPr>
          <w:rFonts w:cs="Times New Roman"/>
          <w:sz w:val="21"/>
          <w:szCs w:val="21"/>
        </w:rPr>
        <w:t>.04.2018г. время 1</w:t>
      </w:r>
      <w:r>
        <w:rPr>
          <w:rFonts w:cs="Times New Roman"/>
          <w:sz w:val="21"/>
          <w:szCs w:val="21"/>
          <w:lang w:val="kk-KZ"/>
        </w:rPr>
        <w:t>0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0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6118BE" w:rsidRPr="00910DEA" w:rsidRDefault="006118BE" w:rsidP="006118BE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6118BE" w:rsidRPr="00910DEA" w:rsidRDefault="006118BE" w:rsidP="006118BE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</w:t>
      </w:r>
      <w:r w:rsidRPr="00910DEA">
        <w:rPr>
          <w:rFonts w:cs="Times New Roman"/>
          <w:b/>
          <w:sz w:val="21"/>
          <w:szCs w:val="21"/>
        </w:rPr>
        <w:lastRenderedPageBreak/>
        <w:t xml:space="preserve">числе на участие при вскрытии конвертов, с предоставлением копии удостоверения личности доверенного лица. </w:t>
      </w:r>
    </w:p>
    <w:p w:rsidR="006118BE" w:rsidRPr="00910DEA" w:rsidRDefault="006118BE" w:rsidP="006118BE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6118BE" w:rsidRPr="00910DEA" w:rsidRDefault="006118BE" w:rsidP="006118BE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6118BE" w:rsidRPr="00910DEA" w:rsidRDefault="006118BE" w:rsidP="006118BE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6118BE" w:rsidRPr="00910DEA" w:rsidRDefault="006118BE" w:rsidP="006118BE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6118BE" w:rsidRPr="00910DEA" w:rsidRDefault="006118BE" w:rsidP="006118BE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7) оригинал справки налогового органа Республики Казахстан о том, что данный потенциальный </w:t>
      </w:r>
      <w:r w:rsidRPr="00910DEA">
        <w:rPr>
          <w:rStyle w:val="s0"/>
          <w:sz w:val="21"/>
          <w:szCs w:val="21"/>
        </w:rPr>
        <w:lastRenderedPageBreak/>
        <w:t>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6118BE" w:rsidRPr="00910DEA" w:rsidRDefault="006118BE" w:rsidP="006118BE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6118BE" w:rsidRPr="00910DEA" w:rsidRDefault="006118BE" w:rsidP="006118BE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118BE" w:rsidRDefault="006118BE" w:rsidP="006118BE">
      <w:pPr>
        <w:pStyle w:val="Standard"/>
        <w:rPr>
          <w:rFonts w:cs="Times New Roman"/>
          <w:sz w:val="21"/>
          <w:szCs w:val="21"/>
        </w:rPr>
      </w:pPr>
    </w:p>
    <w:p w:rsidR="006118BE" w:rsidRDefault="006118BE" w:rsidP="006118BE">
      <w:pPr>
        <w:pStyle w:val="Standard"/>
        <w:rPr>
          <w:rFonts w:cs="Times New Roman"/>
          <w:sz w:val="21"/>
          <w:szCs w:val="21"/>
        </w:rPr>
      </w:pPr>
    </w:p>
    <w:p w:rsidR="006118BE" w:rsidRDefault="006118BE" w:rsidP="006118BE">
      <w:pPr>
        <w:pStyle w:val="Standard"/>
        <w:rPr>
          <w:rFonts w:cs="Times New Roman"/>
          <w:sz w:val="21"/>
          <w:szCs w:val="21"/>
        </w:rPr>
      </w:pPr>
    </w:p>
    <w:p w:rsidR="006118BE" w:rsidRDefault="006118BE" w:rsidP="006118BE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6118BE" w:rsidRDefault="006118BE" w:rsidP="006118BE">
      <w:pPr>
        <w:pStyle w:val="Standard"/>
        <w:rPr>
          <w:rFonts w:cs="Times New Roman"/>
          <w:b/>
          <w:sz w:val="21"/>
          <w:szCs w:val="21"/>
        </w:rPr>
      </w:pPr>
    </w:p>
    <w:p w:rsidR="006118BE" w:rsidRDefault="006118BE" w:rsidP="006118BE">
      <w:pPr>
        <w:pStyle w:val="Standard"/>
        <w:rPr>
          <w:rFonts w:cs="Times New Roman"/>
          <w:b/>
          <w:sz w:val="21"/>
          <w:szCs w:val="21"/>
        </w:rPr>
      </w:pPr>
    </w:p>
    <w:p w:rsidR="006118BE" w:rsidRDefault="006118BE" w:rsidP="006118BE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6118BE" w:rsidRDefault="006118BE" w:rsidP="006118BE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6118BE" w:rsidRDefault="006118BE" w:rsidP="006118BE"/>
    <w:p w:rsidR="006118BE" w:rsidRDefault="006118BE" w:rsidP="006118BE"/>
    <w:p w:rsidR="006118BE" w:rsidRDefault="006118BE" w:rsidP="006118BE"/>
    <w:p w:rsidR="006118BE" w:rsidRDefault="006118BE" w:rsidP="006118BE"/>
    <w:p w:rsidR="006118BE" w:rsidRDefault="006118BE" w:rsidP="006118BE"/>
    <w:p w:rsidR="006118BE" w:rsidRDefault="006118BE" w:rsidP="006118BE"/>
    <w:p w:rsidR="0086053E" w:rsidRPr="006118BE" w:rsidRDefault="0086053E" w:rsidP="006118BE"/>
    <w:sectPr w:rsidR="0086053E" w:rsidRPr="0061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E"/>
    <w:rsid w:val="006118BE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8BE"/>
    <w:rPr>
      <w:color w:val="0000FF" w:themeColor="hyperlink"/>
      <w:u w:val="single"/>
    </w:rPr>
  </w:style>
  <w:style w:type="paragraph" w:styleId="a4">
    <w:name w:val="No Spacing"/>
    <w:uiPriority w:val="1"/>
    <w:qFormat/>
    <w:rsid w:val="006118B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6118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6118BE"/>
    <w:rPr>
      <w:color w:val="333399"/>
      <w:u w:val="single"/>
    </w:rPr>
  </w:style>
  <w:style w:type="character" w:customStyle="1" w:styleId="s0">
    <w:name w:val="s0"/>
    <w:rsid w:val="006118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118B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8BE"/>
    <w:rPr>
      <w:color w:val="0000FF" w:themeColor="hyperlink"/>
      <w:u w:val="single"/>
    </w:rPr>
  </w:style>
  <w:style w:type="paragraph" w:styleId="a4">
    <w:name w:val="No Spacing"/>
    <w:uiPriority w:val="1"/>
    <w:qFormat/>
    <w:rsid w:val="006118B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6118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6118BE"/>
    <w:rPr>
      <w:color w:val="333399"/>
      <w:u w:val="single"/>
    </w:rPr>
  </w:style>
  <w:style w:type="character" w:customStyle="1" w:styleId="s0">
    <w:name w:val="s0"/>
    <w:rsid w:val="006118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118B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1589</Words>
  <Characters>9062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2018-04-17T03:38:00Z</cp:lastPrinted>
  <dcterms:created xsi:type="dcterms:W3CDTF">2018-04-17T03:33:00Z</dcterms:created>
  <dcterms:modified xsi:type="dcterms:W3CDTF">2018-04-17T03:41:00Z</dcterms:modified>
</cp:coreProperties>
</file>